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076D" w:rsidRPr="0039076D" w:rsidRDefault="0039076D" w:rsidP="0039076D">
      <w:pPr>
        <w:spacing w:after="0"/>
        <w:ind w:firstLine="709"/>
        <w:jc w:val="both"/>
      </w:pPr>
      <w:r w:rsidRPr="0039076D">
        <w:t>Развитие международно-правового режима Каспийского моря в сфере экологии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18 июня 2024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rPr>
          <w:b/>
          <w:bCs/>
          <w:noProof/>
        </w:rPr>
        <w:drawing>
          <wp:inline distT="0" distB="0" distL="0" distR="0">
            <wp:extent cx="5939790" cy="2287905"/>
            <wp:effectExtent l="0" t="0" r="3810" b="0"/>
            <wp:docPr id="21265752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rPr>
          <w:b/>
          <w:bCs/>
        </w:rPr>
        <w:t>1.     Формирование правового режима Каспийского моря в XVII-XVIII вв.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С. М. Соловьёв писал: «Пётр, стремясь к достижению своей «великой цели» - получению Россией выхода к Балтийскому морю, не спускал глаз с Востока, зная хорошо его значения для России, зная, что материальное благосостояние России поднимается, когда она станет посредницею в торговом отношении между Европой и Азией. Страны Востока, от Китая до Турции, одинаково обращали на себя внимание Петра».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Россия еще в XVI веке после завоевания Казанского и Астраханского ханств, получила возможность прямого общения с Персией. Через Иран и Закавказье пролегал «шелковый путь «с Востока в Европу. Из Персии, Средней Азии шли новые для России, не изведанные пока торговые дороги в другие дальние «страны чудес». Но то, что было сделано для их поиска, а также для укрепления и развития уже налаженных связей в первой четверти XVIII столетия, далеко превзошло все начинания предшествующих времен. Решение политических и коммерческих задач, унаследованных от XVI и XVII веков, в Петровскую эпоху было поставлено с большой определенностью и размахом.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Уже в 1695 году Петр I посылает купца гостиной сотни Семена Маленького в Персию и Индию. Маленький везет царские грамоты к шаху и Великому Моголу. Его снабжает деньгами и товарами, ему приказывают описать местоположение земель, рек, населенных пунктов, весь путь, по которому он будет следовать. Семен Маленький доплыл до Персии, побывал в Исфахане, Тегеране, имел несколько аудиенций у шаха.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В 1699 году датчанину Шельтрону, бывшему на русской службе, было приказано описать берега Каспийского моря. Внимание Петра 1 привлекала возможность расширения торговли и через Среднюю Азию.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 xml:space="preserve">В России были известны слухи о том, что существовало старое русло Амударьи, по которому она впадала раньше прямо в Каспийское море, но хивинцы или калмыки (в начале XVIII в. калмыками в России называли ойратов, уйгуров и киргизов) совсем «недавно» отвели эту реку в Аральское </w:t>
      </w:r>
      <w:r w:rsidRPr="0039076D">
        <w:lastRenderedPageBreak/>
        <w:t>море, устроив где-то плотину; они сделали это, чтобы «обезопасить свои владения». Или иначе: у Амударьи было два устья, которыми она впадала одновременно и в Каспийское, и в Аральское моря, и хивинцами было засыпано одно из них [1].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Возможность активизировать внешнюю политику на Востоке Россия получила после окончания Северной войны. В 1722-1723 годах был предпринят поход на Кавказ и Иран, вошедший в историю под названием Каспийского (Персидского) похода, в ходе которого западное и южное побережья Каспийского моря с городами Баку и Рештом были заняты русскими войсками. Успех похода закрепил подписанный в Петербурге в 1723 году Петром 1 и от имени шаха Тахмаспа иранским послом Исмаил – беком договор, по которому к России отошли прикаспийские провинции Ирана с городами Дербент, Решт и Астрабад. В договоре провозглашалось установление доброй дружбы между двумя странами. В этот период времени Россия обладала исключительными правами в отношении Каспийского моря, включая право иметь военный флот, осуществлять торговое мореплавание, рыболовство и другие виды использование ресурсов этого водоёма.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Господство России на западном и южном побережье Каспийского моря было непродолжительным. Обострение русско-турецких отношений, происшедшее к началу тридцатых годов XVIII века, и укрепление положения Ирана, успешно боровшегося против Турции, побудило правительство России установить с Ираном тесные дружеские отношения и для достижения этой цели возвратить ему полученные по Персидскому договору 1723 года прикаспийские провинции. В 1732 году между Россией и Ираном в г. Реште был подписан договор (Рештский договор), согласно которому провинции Гилян, Мазандеран и Астрабад возвращались Ирану без права их передачи третьему государству. Находившийся в этих провинциях русские войска подлежали отводу за р. Куру, объявленную границей между владениями России и Ирана в Закавказье. Иран в свою очередь предоставлял России право беспошлинной торговли и транзита товаров, а также другие торговые льготы</w:t>
      </w:r>
      <w:r w:rsidRPr="0039076D">
        <w:rPr>
          <w:b/>
          <w:bCs/>
        </w:rPr>
        <w:t>. </w:t>
      </w:r>
      <w:r w:rsidRPr="0039076D">
        <w:t>Рештский договор сохранял силу до заключения Гянджинского договора 1735 года, который подтвердил договор 1732 года и предусматривал передачу Россией Ирану Дербента и Баку с их провинциями</w:t>
      </w:r>
      <w:r w:rsidRPr="0039076D">
        <w:rPr>
          <w:b/>
          <w:bCs/>
        </w:rPr>
        <w:t>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 xml:space="preserve">На рубеже XVII – XIX веков ближневосточное направление явилось одним из важнейших во внешней политике России. В 1813 году между Россией и Ираном в местечке Гюлистан был подписан мирный договор (Гюлистанский мирный договор), который завершил русско-иранскую войну 1804-1813 годов, развязанную шахским правительством в борьбе за преобладающее влияние в Закавказье. Согласно договору, Иран признавал вхождение в состав Российской империи Дагестана, Грузии, Имеретии, Гурии, Митрелии и Абхазии, а также ханств Карабахского, Гянджинского, Шекинского, Ширванского, Дербентского, Кубинского, Бакинского и Талышинского. В отношении Каспийского моря Статья V Договора подтверждала сложившееся в силу обычая право российских и персидских купеческих судов свободно плавать у берегов Каспийского моря и приставать к оным. Сие же самое право </w:t>
      </w:r>
      <w:r w:rsidRPr="0039076D">
        <w:lastRenderedPageBreak/>
        <w:t>предоставляется и Персидским купеческим судам по прежнему обычаю плавать по Каспийскому морю и приставать к берегам Российским. «Купцы обеих стран получали право свободной торговли» [2]. Вместе с тем, статья V Договора, ссылаясь на сложившуюся международную практику, устанавливала исключительное право России иметь военный флот на Каспии: «В рассуждении же военных судов: то как прежде войны, так равно во время мира и всегда Российский военный флаг один существовал на Каспийском море, то всем уважении и теперь предоставляется ему одному прежнее право с тем, что кроме Российской державы, никакая другая Держава не может иметь на Каспийском море военный флага» [3].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Большое значение в формировании правового режима Каспийского моря отводится Туркманчайскому мирному договору 1828 года, который определял режим Каспия на протяжении XIX века. Этот договор завершил вторую русско-иранскую войну 1826-1828 годов. В нем устанавливалась граница между двумя государствами (Статья IV), которая впоследствии была пересмотрена в Конвенции о разграничении к востоку от Каспийского моря, подписанный в Тегеране в 1881 году и в Конвенции об обмене территории Фирузе на Хиссар и Аббас Абад и о пограничной линии от Баба Дурмаз до Теджена 1893 года. Кроме того, Туркманчайским договором подтверждалось право свободы плавания русских и персидских судов в Каспийском море, а также преимущественное право России иметь военный флот на Каспийском море (Статья VIII).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Таким образом, заключенные между Россией и Ираном на протяжении XVIII–XIX веков договора впервые создали международно-правовую основу режима Каспийского моря на тот период времени. Они в основном определяли контуры геополитики в Каспийском регионе, вопросы же экологии в этих договоренностях вообще не затрагивались.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rPr>
          <w:b/>
          <w:bCs/>
        </w:rPr>
        <w:t>2. Правовой режим Каспийского моря в соответствии с советско-иранскими договорами 1921 и 1940 годов.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Режим Каспийского моря был изменен только в 1921 году в результате подписания Договора между РСФСР и Персией. Им отменялись все заключенные ранее несправедливые договоры между царской Россией и Персией, содержащие дискриминационные положения в отношении последней. Статья 1 Договора гласила: «Согласно сему и желая видеть персидский народ независимым и процветающим и свободно распоряжающимся всем своим достоянием, Российское Советское Правительство объявляет все тракты, договоры, конвенции, заключенные бывшим царским правительством с Персией и приводившие к умалению прав персидского народа, отмененными и потерявшими всяческую силу» [4]. Это, по сути, означало, что Гюлистанский мирный договор 1813 года и Туркманчайский мирный договор 1828 года прекратили свое действие.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Следующим шагом в развитии советско-иранских отношений по Каспийскому морю явилось подписание в Тегеране 25 марта 1940 года Договора о торговле и мореплавании</w:t>
      </w:r>
      <w:r w:rsidRPr="0039076D">
        <w:rPr>
          <w:b/>
          <w:bCs/>
        </w:rPr>
        <w:t>, </w:t>
      </w:r>
      <w:r w:rsidRPr="0039076D">
        <w:t>в котором регулировались правовой режим рыболовства и судоходства.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lastRenderedPageBreak/>
        <w:t>В Договоре 1921 года вопросов рыболовства посвящена одна 8 статья, которая представляет из себя протокол о намерении заключать соглашение между Персией и РСФСР об эксплуатации рыбных промыслов южного побережья Каспийского моря на особых условиях.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В Договоре 1940 года вопросам рыболовства также посвящена одна статья (12, п.4), которая устанавливает десятимильную рыболовную зону для Сторон. В соответствии с ней «…каждая из Договаривающихся Сторон сохраняет за судами своего флага ловлю рыбы в водах, омывающих её берега, до пределов десяти морских миль, равно как сохраняет право пользования льготами и преимуществами в отношении ввоза рыбы, составляющей улов экипажа судов, плавающих под её флагом» [5].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Таким образом, режиму рыболовства в указанных договорах было отведено мало места. Так, статья ХIV Договора 1921 г. делает ссылку на намерение сторон заключить соглашение об использовании рыбных промыслов и снабжении продовольствием только южного побережья Каспийского моря. В договорах не затрагивались проблемы рационального использования рыбных запасов, их сохранения и воспроизводства. Рыболовство затрагивалось лишь в контексте промысловой деятельности. Позитивным моментом документов явились статьи, объявляющие открытость моря для рыболовства до 10 морских миль.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Договор 1921 года отменяет действие мирного договора, заключенного между Персией и Россией в Туркманчае в 1828 году, статья VIII, которого лишала Персию иметь флот на Каспийском море. В статье XI Договора говорится, что «обе Высокие Договаривающиеся Стороны согласны, что с момента подписания настоящего договора они будут в равной степени пользоваться правом свободного плавания по Каспийскому морю под своим флагом».   Вместе с тем, в Договоре (статья VII) содержится положение о том, что Россия имеет право вводить в Персию свои вооруженные силы в том случае, если третьи страны попытаются превратить территорию Персии в Базу для военных выступлений против России, если при этом будет угрожать опасность границам РСФСР и если персидское правительство не будет в состоянии отвратить эту опасность. В силу этой логики в Договор включена и статья VII, в которой подчеркивается, что «если в составе экипажа судов персидского флота окажутся граждане третьих держав, использующие свое пребывание в персидском флоте в недружественных по отношению к России целях, Российское Советское Правительство будет иметь право потребовать от Правительства Персии устранения указанных вредных элементов». Иными словами, в этом документе не запрещается использовать граждан третьих стран на судах, плавающих по Каспийскому морю. Речь идет о том, что граждане третьих стран не будут заниматься враждебной по отношению к России деятельностью. В противном случае последняя может потребовать устранения их с борта судов или с территории Персии.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 xml:space="preserve">Договор 1940 г. согласно статье 12 устанавливает, что торговые суда, плавающие под флагом одной из Договаривающихся Сторон в Каспийском море, будут трактоваться в портах другой Стороны на праве равного </w:t>
      </w:r>
      <w:r w:rsidRPr="0039076D">
        <w:lastRenderedPageBreak/>
        <w:t>национального режима. Статья 13 Договора подтверждает исключительные права сторон на мореплавание, закрепленные договором 1921 г.: «Договаривающиеся Стороны условливаются, что на всем протяжении Каспийского моря могут находиться только суда, принадлежащие Союзу Советских Социалистических Республик и Ирану, а равным образом гражданам, и торговым и транспортным организациям одной из Договаривающихся Сторон, плавающие соответственно под флагом Союза Советских Социалистических Республик или Ирана» [6], что свидетельствовало о закрытом характере моря.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Таким образом, указанные договора внесли положительные изменения в режим судоходства, восстановив права Персии на свободное плавание по Каспийскому морю. В целом, оба договора решают принципиальные вопросы судоходства. Вместе с тем, оба договора 1921 и 1940 годов не содержат каких-либо норм, регулирующих вопросы использования недр и экологию Каспийского моря. Причина в том, что в период заключения этих договоров, проблем использования морского дна и его недр не существовало, что объяснялось отсутствием технических и научных возможностей для осуществления работ по освоению углеводородных ресурсов.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Проблема правового режима использования недр возникла в середине XX века как следствие огромных технических и научных достижений, которые сделали возможной разведку и добычу естественных ресурсов морского дна и его недр на значительных глубинах. Отсутствие в данных договорах положений, касающихся мер по охране окружающей среды, объясняется также новизной проблемы.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Анализируя советско-иранские договоры 1921 и 1940 годов, необходимо обратить внимание на то, что стороны нигде не ставят вопрос об установлении границ на Каспии. Это, представляется было связано с тем, что стороны рассматривали Каспийское море как внутренний водоём двух стран. В целом, исходя из приведенных документов, правовой статус Каспийского моря находится под общим суверенитетом прикаспийских государств и представляет собой объект совместного использования этими государствами за исключением десятимильной рыболовной зоны. Он не является территорией какого-либо одного государства, а является объектом прибрежных государств, имеющими равные права в отношении его использования. Вместе с тем, указанные договора не регулируют правового статуса Каспия в полном объёме. Поэтому после распада СССР и появления новых прикаспийских государств, они не могли учитывать реалии настоящего времени. Требовалось выработка и принятие принципиально нового документа, определяющего статус Каспийского моря.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rPr>
          <w:b/>
          <w:bCs/>
        </w:rPr>
        <w:t>3. Международно-правовой статус Каспийского моря в сфере экологии в современных условиях              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 xml:space="preserve">В современных условиях среди договоров, определяющих правовой статус Каспийского моря важное место отводится вопросам охраны окружающей среды. В последние два десятилетия наблюдаются положительные сдвиги в природоохранном сотрудничестве прикаспийских </w:t>
      </w:r>
      <w:r w:rsidRPr="0039076D">
        <w:lastRenderedPageBreak/>
        <w:t>государств, о чём свидетельствует подписание ряда многосторонних документов. Прибрежные страны осознают важность охраны уникальной экосистемы Каспийского моря и необходимость объединения усилий в этом направлении [7].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rPr>
          <w:b/>
          <w:bCs/>
          <w:i/>
          <w:iCs/>
        </w:rPr>
        <w:t>Рамочная Конвенция по защите морской среды Каспийского моря (Тегеран, 4 ноября 2003 г.)</w:t>
      </w:r>
      <w:r w:rsidRPr="0039076D">
        <w:rPr>
          <w:b/>
          <w:bCs/>
        </w:rPr>
        <w:t> </w:t>
      </w:r>
      <w:r w:rsidRPr="0039076D">
        <w:t>стала первым юридически обязывающим многосторонним соглашением в Каспийском регионе. Она создала правовую основу для природоохранного сотрудничества прибрежных государств, установила общие требования и организационную структуру для устойчивого управления охраной окружающей среды на Каспии. Цель Рамочной Конвенции заключается в защите морской среды Каспийского моря от загрязнения, включая защиту, сохранение, восстановление, устойчивое и рациональное использование его биоресурсов (ст.2). Для достижения указанной цели Стороны должны руководствоваться такими принципами, как принятия мер предосторожности, «загрязнитель платит» и доступности информации о загрязнении морской среды Каспия. Конвенция определяет основные направления регулирования антропогенного воздействия на морскую среду Каспия, охрану и воспроизводство биологических и других ресурсов моря, а также процедурные вопросы принятия совместных решений пятью прикаспийскими государствами.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Туркменистан ратифицировал Рамочную Конвенцию 19 августа 2004 г. [8].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Рамочный характер Конвенции предполагает подготовку и подписания прикаспийскими странами вспомогательных документов. В настоящее время, в целях реализации Рамочной Конвенции приняты четыре протокола: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rPr>
          <w:b/>
          <w:bCs/>
          <w:i/>
          <w:iCs/>
        </w:rPr>
        <w:t>Протокол о региональной готовности, реагировании и сотрудничестве в случае инцидентов, вызывающих загрязнению нефтью к Рамочной конвенции по защите морской среды Каспийского моря (Актау, 12 августа 2011 г.) </w:t>
      </w:r>
      <w:r w:rsidRPr="0039076D">
        <w:t>[9].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Целью Протокола является обеспечение региональных мер по готовности, реагированию и сотрудничеству в случае загрязнения Каспийского моря нефтью и загрязнения моря нефтью из наземных источников (ст.3).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Согласно Протоколу Договаривающиеся Стороны: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совместно разрабатывают и принимают руководства по практическим, оперативным и техническим аспектам совместных действий;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создают региональный механизм. Процедуры для такого механизма подлежат рассмотрению и последующему принятию Конференцией Договаривающихся Сторон;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для оперативного выполнения Протокола создается План регионального сотрудничества по борьбе с загрязнением нефтью в случаях чрезвычайной ситуации на Каспийском море (ст.4).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Каждая Договаривающаяся Сторона: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 xml:space="preserve">·       учреждает национальную систему оперативного реагирования на загрязнение нефтью. Эта система, как минимум, включает назначение: a) </w:t>
      </w:r>
      <w:r w:rsidRPr="0039076D">
        <w:lastRenderedPageBreak/>
        <w:t>компетентного национального органа, ответственного за обеспечение готовности и реагирование на инциденты, вызывающие загрязнение нефтью; b) национального оперативного пункта связи, ответственного за получение и передачу сообщений об инцидентах, вызывающих загрязнение нефтью; c) компетентного национального органа, имеющего право действовать от имени Договаривающейся Стороны, обращаясь за помощью или принимая решение об оказании запрашиваемой помощи;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разрабатывает и осуществляет национальный план чрезвычайных мер по обеспечению готовности и реагированию на инциденты, вызывающие загрязнение нефтью;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создает, при необходимости – в сотрудничестве с организациями нефтяной промышленности и судоходной отрасли и портовыми властями или любыми другими соответствующими организациями, и содержит в состоянии готовности минимальное количество размещенного в заранее определенных местах оборудования для того, чтобы обеспечить действенные мероприятия при сбросах нефти. Количество оборудования должно соответствовать уровню ожидаемого риска загрязнения нефтью;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индивидуально или в рамках двустороннего или многостороннего сотрудничества, разрабатывает программы учений и подготовки персонала для усиления состояния готовности органов, ответственных за действия при инцидентах, вызывающих загрязнение нефтью (ст.5).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Национальному плану чрезвычайных мер по обеспечению готовности и реагированию на инциденты, вызывающие загрязнение нефтью, предусмотренного статьей 5 Протокола соответствует Национальный План Туркменистана по предупреждению и ликвидации разливов нефти, утвержденного Постановлением Президента Туркменистана от 21 августа 2001 г. В этой связи, представляется целесообразным подготовить указанный Национальный план в соответствии с требованиями Протокола о региональной готовности, реагировании и сотрудничестве в случае инцидентов, вызывающих загрязнению нефтью к Рамочной конвенции по защите морской среды Каспийского моря [10].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rPr>
          <w:b/>
          <w:bCs/>
          <w:i/>
          <w:iCs/>
        </w:rPr>
        <w:t>Протокол по защите Каспийского моря от загрязнения из наземных источников и в результате осуществляемой на суше деятельности к Рамочной конвенции по защите морской среды Каспийского моря (Москва, 12 декабря 2012 г.).</w:t>
      </w:r>
      <w:r w:rsidRPr="0039076D">
        <w:t> Его целью является предотвращение, снижение, контроль и в максимально возможной степени устранение загрязнения морской среды из наземных источников и в результате осуществляемой на суше деятельности для достижения и поддержания экологически здоровой морской среды Каспийского моря (ст.1).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 xml:space="preserve">Договаривающиеся Стороны принимают на себя обязательства: самостоятельно или совместно принимают все надлежащие меры в соответствии с положениями Конвенции для предотвращения, контроля, снижения и максимально возможного устранения загрязнения и других неблагоприятных воздействий на морскую среду и прибрежные районы </w:t>
      </w:r>
      <w:r w:rsidRPr="0039076D">
        <w:lastRenderedPageBreak/>
        <w:t>Каспийского моря из наземных источников и в результате осуществляемой на суше деятельности.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Договаривающиеся Стороны, в частности: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a) применяют принцип предосторожности, согласно которому при наличии угрозы серьезного или необратимого ущерба морской среде, или здоровью населения, отсутствие полной научной уверенности не используется в качестве основания для отсрочки экономически эффективных мер по предотвращению подобного ущерба;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b) применяют принцип «загрязнитель платит», согласно которому расходы на осуществление мер по предотвращению, контролю и снижению загрязнения должен нести загрязнитель;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c) содействуют двустороннему и многостороннему сотрудничеству Договаривающихся Сторон в отношении оценки воздействия на окружающую среду видов деятельности, которые могут оказать существенное неблагоприятное воздействие на морскую среду и прибрежные районы Каспийского моря;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d) обеспечивают всесторонний учет экологических факторов, в том числе аспектов, связанных со здоровьем людей, при разработке соответствующих планов и программ;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e) принимают предупредительные меры для сведения к минимуму риска загрязнения в результате промышленных аварий и стихийных бедствий, путем обеспечения готовности и реагирования на бедствия;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f) принимают специальные меры по защите от загрязнения из наземных источников и в результате осуществляемой на суше деятельности, которое может быть потенциально вредным для природных нерестилищ осетровых, каспийского лосося и других ценных видов;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g) содействуют устойчивому развитию прибрежных районов посредством комплексного подхода к развитию прибрежных районов;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h) стремятся на основе взаимного согласия к сотрудничеству в достижении целей Протокола с неприбрежными государствами, на территории которых расположена часть гидрологического бассейна Каспийского моря (ст.4).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В целях реализации положений Протокола каждая Договаривающаяся Сторона: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назначает национальный орган, имеющий право координировать выполнение Протокола и предоставлять через Секретариат соответствующую информацию другим Договаривающимся Сторонам;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принимают региональные и/или национальные программы или планы действий, основанные на мерах по контролю за источниками загрязнения и содержащие меры, и там, где это необходимо, графики их выполнения;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обеспечивают охват видов деятельности и веществ, перечисленных в Приложении I, путём постепенной разработки, принятия и осуществления: контроля за выбросами, включая предельные величины выбросов для соответствующих веществ, экологические стандарты к Протоколу и др. (ст.5).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rPr>
          <w:b/>
          <w:bCs/>
          <w:i/>
          <w:iCs/>
        </w:rPr>
        <w:lastRenderedPageBreak/>
        <w:t>Протокол о сохранении биологического разнообразия к Рамочной конвенции по защите морской среды Каспийского моря (Ашхабад, 30 мая 2014 г.).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Целями Протокола являются охрана, сохранение и восстановление жизнеспособности и целостности биологического разнообразия и экосистемы Каспийского моря, а также обеспечение устойчивого использования биологических ресурсов и в этом контексте: (a) сохранение видов, находящихся под угрозой исчезновения, и уязвимых экосистем, для обеспечения их долгосрочной жизнеспособности и разнообразия; (b) предотвращение ухудшения, деградации и нанесения ущерба видам, местам обитания и экосистемам в соответствии с принципом принятия мер предосторожности; (c) охрана и сохранение тех районов, которые наиболее полно представляют широкий спектр видов, особых мест обитания, экологических систем и природного, а также связанного с ним культурного наследия (ст.2).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В целях выполнения Протокола, Каждая Договаривающаяся Сторона определяет компетентный орган, координирующий выполнение положений настоящего Протокола на её территории и под её юрисдикцией (ст.4).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К числу общих обязательств Договаривающихся Сторон Протокол относит: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a) самостоятельно или совместно принимают необходимые меры для защиты, сохранения и восстановления морской среды Каспийского моря;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b) используют природные ресурсы Каспийского моря таким образом, чтобы не нанести ущерб морской среде и биологическим ресурсам Каспийского моря;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c) защищают, сохраняют и восстанавливают биологическое разнообразие, уделяя особое внимание находящимся под угрозой исчезновения видам;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d) защищают, сохраняют и восстанавливают районы, являющиеся уникальными, наиболее уязвимыми или представляющими важное значение для региона, применяя не наносящие ущерб окружающей среде и устойчивые методы, прежде всего путем создания охраняемых районов;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e) принимают национальные и, при необходимости, региональные стратегии, планы действий и программы и разрабатывают, и применяют соответствующее законодательство по сохранению биологического разнообразия и устойчивому использованию и управлению биологическими ресурсами, включая места их обитания;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f) осуществляют меры по мониторингу, связанному с биологическим разнообразием Каспийского моря;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g) выявляют и составляют реестры биологического разнообразия и мест обитания в целях сохранения биологического разнообразия и устойчивого и рационального использования биологических ресурсов;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h) обеспечивают соответствие отраслевых стратегий и планов действий принципам сохранения биологического разнообразия и устойчивого и рационального использования биологических ресурсов;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lastRenderedPageBreak/>
        <w:t>i) осуществляют комплексное национальное управление сушей, находящейся под воздействием близости моря, принимая во внимание необходимость устойчивого и рационального использования биологических ресурсов и сохранения биологического разнообразия;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j) контролируют источники загрязнения и любую деятельность, которые оказывают или могут оказывать значительное негативное воздействие на места обитания и виды;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k) сотрудничают друг с другом и с компетентными международными организациями в области сохранения биологического разнообразия и управления видами и экосистемами, находящимися под угрозой исчезновения (ст.5).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rPr>
          <w:b/>
          <w:bCs/>
          <w:i/>
          <w:iCs/>
        </w:rPr>
        <w:t>Протокол по оценке воздействия на окружающую среду в трансграничном контексте к Рамочной конвенции по защите морской среды Каспийского моря (Москва, 20 июля 2018 г.).</w:t>
      </w:r>
      <w:r w:rsidRPr="0039076D">
        <w:t> Его целью является проведение эффективных и открытых процедур оценки воздействия на окружающую среду в трансграничном контексте планируемой деятельности, которая может оказывать значительное трансграничное воздействие на морскую среду и сушу, находящуюся под воздействием близости моря, для предотвращения, снижения и контроля загрязнения морской среды и суши, находящейся под воздействием близости моря, для содействия сохранению его биоразнообразия и рациональному использованию его природных ресурсов и охране здоровья человека (ст.2).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В соответствии с Протоколом каждая Договаривающаяся Сторона: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принимает необходимые законодательные, административные или другие меры для выполнения в отношении видов планируемой деятельности, которые могут вызвать значительное трансграничное воздействие. Перечень видов планируемой деятельности и критериев, способствующих определению значительного трансграничного воздействия, содержатся в приложениях I и II к Протоколу;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обеспечивает, чтобы виды планируемой деятельности, которые могут вызвать значительное трансграничное воздействие, подлежали процедуре оценки воздействия на окружающую среду перед принятием решения по разрешению или проведению планируемой деятельности;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информирует Договаривающиеся Стороны и Секретариат о ее пункте связи для целей уведомления. Информация о пунктах связи для целей уведомления должна быть доступна Договаривающимся Сторонам через Секретариат в электронном или любом другом подходящем виде;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Кроме того, заинтересованные Стороны: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обеспечивают эффективное участие общественности в процедуре оценки воздействия на окружающую среду планируемой деятельности, начиная с начальной стадии процедуры оценки воздействия на окружающую среду;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 xml:space="preserve">·       предоставляют общественности Стороны Происхождения и общественности Затрагиваемой Стороны равные возможности для участия в процедурах оценки воздействия на окружающую среду планируемой </w:t>
      </w:r>
      <w:r w:rsidRPr="0039076D">
        <w:lastRenderedPageBreak/>
        <w:t>деятельности и оказывают ей поддержку и консультации по вопросам оценки воздействия на окружающую среду (ст.4).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Туркменистан ратифицировал Протокол 22 августа 2020 г. [11].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Рамочная Конвенция стимулировала также принятие других многосторонних соглашений по сотрудничеству на Каспии.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rPr>
          <w:b/>
          <w:bCs/>
          <w:i/>
          <w:iCs/>
        </w:rPr>
        <w:t>Соглашение о сохранении и рациональном использовании водных биологических ресурсов Каспийского моря (Астрахань, 29 сентября 2014 г.).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Основная цель Соглашения – сохранение и рациональное использование водных биологических ресурсов Каспийского моря, в том числе управление совместными водными биологическими ресурсами.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В рамках Соглашения Стороны сотрудничают в следующих областях: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проведение согласованных научных исследований;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разработка мер по регулированию промысла совместных водных биологических ресурсов;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разработка мер для борьбы с незаконным, несообщаемым, нерегулируемым промыслом и незаконным оборотом водных биологических ресурсов;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сбор, предоставление и обмен данными промысловой статистики в согласованном Сторонами формате;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разработка и реализация краткосрочных, среднесрочных и долгосрочных программ воспроизводства и сохранения совместных водных биологических ресурсов и среды их обитания, включая выпуск молоди осетровых видов рыб;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разработка рекомендаций по использованию орудий лова и технологий промысла для совместных водных биологических ресурсов;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обмен научной информацией и специалистами, проведение семинаров, конференций и курсов обучения.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Сторонами создаётся Комиссия по сохранению, рациональному использованию водных биологических ресурсов и управлению их совместными запасами (далее – Комиссия), в состав которой входят по одному представителю и его заместителю от каждой из Сторон. Комиссия обладает полномочиями координировать деятельность по сохранению, воспроизводству, рациональному использованию совместных водных биологических ресурсов, ежегодно определять общие допустимые уловы совместных водных биологических ресурсов и распределять их на национальные квоты, утверждать правила рыболовства в отношении водных биологических ресурсов в акватории Каспия. Комиссия уполномочена также разрабатывать и утверждать необходимые программы и проекты по охране редких и находящихся под угрозой исчезновения видов совместных водных биологических ресурсов и среды их обитания, осуществлять иные функции необходимые для реализации Соглашения.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Туркменистан ратифицировал Соглашение 8 ноября 2014 г. [12].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rPr>
          <w:b/>
          <w:bCs/>
          <w:i/>
          <w:iCs/>
        </w:rPr>
        <w:lastRenderedPageBreak/>
        <w:t>Соглашение о сотрудничестве в сфере предупреждения и ликвидации чрезвычайных ситуаций в Каспийском море (Астрахань, 29 сентября 2014 г.).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Основная цель Соглашения - регулирование взаимодействия прикаспийских стран в случае возникновения чрезвычайных ситуаций природного и техногенного характера в Каспийском море.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В соответствии с Соглашением предусматривается сотрудничество по следующим направлениям: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создание и совершенствование системы взаимодействия по предупреждению и ликвидации чрезвычайных ситуаций;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взаимодействие Сторон при прогнозировании и мониторинге чрезвычайных ситуаций;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информирование (оповещение) о риске возникновения чрезвычайной ситуации, которая может затронуть государство другой Стороны;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оказание помощи при ликвидации чрезвычайных ситуаций;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оказание необходимого содействия в оснащении групп по оказанию помощи;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обмен опытом по организации подготовки к действиям в случае чрезвычайной ситуации;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обмен информацией, научно-технической литературой, результатами исследовательских работ и технологиями в области предупреждения и ликвидации чрезвычайных ситуаций;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проведение совместных конференций, рабочих совещаний, тренингов и учений, специализированных выставок;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подготовку специалистов в учебных заведениях, обмен стажерами, преподавателями, учеными и специалистами;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другие виды деятельности в области предупреждения и ликвидации чрезвычайных ситуаций по согласованию Сторон.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Туркменистан ратифицировал Соглашение 8 ноября 2014 г. [13].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rPr>
          <w:b/>
          <w:bCs/>
          <w:i/>
          <w:iCs/>
        </w:rPr>
        <w:t>Соглашение о сотрудничестве в области гидрометеорологии Каспийского моря (Астрахань, 29 сентября 2014 г.).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Целями Соглашения являются создание и развитие комплексной региональной системы получения и обмена информацией о состоянии Каспийского моря в интересах обеспечения безопасности жизнедеятельности и устойчивого развития экономической деятельности на море.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В целях достижения положений Соглашения Стороны: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обеспечивают функционирование и развитие национальных наблюдательных сетей, включающих береговые, островные и устьевые станции и посты, открывают, в случае необходимости новые станции и/или посты;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 xml:space="preserve">·       применяют международно-признанные стандарты Всемирной Метеорологической Организации (ВМО) / Межправительственной Океанографической Комиссии (МОК) ЮНЕСКО в отношении методов наблюдений за гидрометеорологическими параметрами, проводят </w:t>
      </w:r>
      <w:r w:rsidRPr="0039076D">
        <w:lastRenderedPageBreak/>
        <w:t>согласование систем отсчета и выбор реперов и устанавливают другие основополагающие правила, согласуют национальные руководства по гидрометеорологическим работам на морских и береговых станциях и постах;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устанавливают согласованные требования к национальным системам сбора, хранения и распространения информации о состоянии Каспийского моря;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готовят справочные материалы, содержащие обобщенные (режимно климатические) данные о состоянии Каспийского моря;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проектируют и формируют базы данных наблюдений за параметрами, имеющими отношение к состоянию Каспийского моря;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разрабатывают основы единой геоинформационной системы, отображающей информацию о состоянии Каспийского моря;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совершенствуют методы прогноза состояния Каспийского моря, включая прогноз колебаний уровня моря различной заблаговременности;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совершенствуют методы оценки и комплексного анализа элементов водного баланса Каспийского моря, включая потоки в пограничном слое атмосферы и моря;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координируют между собой меры по обучению и повышению квалификации кадров в области гидрометеорологии Каспийского моря.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Деятельность Сторон, направленная на достижение целей и реализацию положений Соглашения, координируется учреждаемым Координационным комитетом по гидрометеорологии Каспийского моря, (Комитет) в компетенцию которого входит: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разработка и утверждение Межправительственной комплексной программы по гидрометеорологии Каспийского моря (Программа);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координация и объединение усилий Сторон по реализации Соглашения и Программы;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информирование Сторон о своей деятельности;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внесение на рассмотрение Сторон рекомендаций в отношении мер, необходимых для достижения целей настоящего Соглашения;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развитие сотрудничества национальных метеорологических и гидрологических служб (НМГС) Сторон с компаниями, работающими на Каспийском море, а также с международными организациями и программами, заинтересованными в реализации Программы и в достижении целей Соглашения;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рассмотрение других вопросов, связанных с выполнением положений Соглашения;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контроль за выполнением Соглашения на постоянной основе.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Туркменистан ратифицировал Соглашение 24 октября 2015 г. [14].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rPr>
          <w:b/>
          <w:bCs/>
          <w:i/>
          <w:iCs/>
        </w:rPr>
        <w:t>Конвенция о правовом статусе Каспийского моря (Актау, 12 августа 2018 г.) </w:t>
      </w:r>
      <w:r w:rsidRPr="0039076D">
        <w:t xml:space="preserve">определяет основы правового статуса Каспийского моря в целом, включая, в том числе. положения касающиеся экологии Каспия. В частности, в ней даны определения таким понятиям как: «Экологическая система Каспийского моря» – взаимодействующие компоненты воздуха, воды и биологических организмов, включая человека, в пределах Каспийского моря </w:t>
      </w:r>
      <w:r w:rsidRPr="0039076D">
        <w:lastRenderedPageBreak/>
        <w:t>и суши, находящейся под воздействием близости моря. «Загрязнение» – привнесение человеком прямо или косвенно веществ, организмов или энергии в экологическую систему Каспийского моря, в том числе из наземных источников, которые приводят или могут привести к таким пагубным последствиям, как вред биологическим ресурсам и жизни в море, опасность для здоровья человека, создают помехи для деятельности на море, в том числе для промысла водных биологических ресурсов и других правомерных видов использования моря, снижают качество используемой морской воды и ухудшают условия отдыха.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В Конвенции предусмотрены принципы деятельности прикаспийских стран на Каспийском море, включая: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применения согласованных норм и правил по воспроизводству и регулированию использования совместных водных биологических ресурсов;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ответственности Стороны, допускающей загрязнение за ущерб, причиненный экологической системе Каспийского моря;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·       охраны природной среды Каспийского моря, сохранения, восстановления и рационального использования его биологических ресурсов (ст.3).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Важная норма в сфере защиты окружающей среды Каспия содержится в статье 15 Конвенции, в которой записано, что Стороны обязуются защищать и сохранять экологическую систему Каспийского моря и все её компоненты. Стороны самостоятельно или совместно принимают все необходимые меры и сотрудничают в целях сохранения биологического разнообразия, защиты, восстановления, устойчивого и рационального использования биологических ресурсов Каспийского моря, предотвращения, снижения и обеспечения контроля за загрязнением Каспийского моря из любого источника.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Запрещается деятельность, которая наносит ущерб биологическому разнообразию Каспийского моря.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Стороны в соответствии с нормами международного права несут ответственность за ущерб, нанесенный экологической системе Каспийского моря.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Таким образом, в настоящее время, принят и реализуется важный комплексный пакет соглашений в области охраны окружающей среды на Каспии. В то же время некоторые положения Тегеранской конвенции требуют дальнейшего развития. В Стратегической программе действий Конвенции, принятой на Второй конференции Договаривающихся сторон 12 ноября 2008 года предусмотрены разработка проекта и принятие вспомогательных инструментов к Тегеранской конвенции по регулированию деятельности на дне моря. Однако, отмечается необходимость изучения всестороннего подхода к устойчивому использованию морского дна и определения мер по предотвращению загрязнения в результате деятельности на дне моря. [15].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rPr>
          <w:noProof/>
        </w:rPr>
        <w:lastRenderedPageBreak/>
        <w:drawing>
          <wp:inline distT="0" distB="0" distL="0" distR="0">
            <wp:extent cx="2143125" cy="4286250"/>
            <wp:effectExtent l="0" t="0" r="9525" b="0"/>
            <wp:docPr id="11910498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76D">
        <w:t>  </w:t>
      </w:r>
      <w:r w:rsidRPr="0039076D">
        <w:rPr>
          <w:noProof/>
        </w:rPr>
        <w:drawing>
          <wp:inline distT="0" distB="0" distL="0" distR="0">
            <wp:extent cx="5939790" cy="3971925"/>
            <wp:effectExtent l="0" t="0" r="3810" b="9525"/>
            <wp:docPr id="136950680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rPr>
          <w:b/>
          <w:bCs/>
        </w:rPr>
        <w:t>Мерген</w:t>
      </w:r>
      <w:r w:rsidRPr="0039076D">
        <w:t> </w:t>
      </w:r>
      <w:r w:rsidRPr="0039076D">
        <w:rPr>
          <w:b/>
          <w:bCs/>
        </w:rPr>
        <w:t>Кепбанов</w:t>
      </w:r>
      <w:r w:rsidRPr="0039076D">
        <w:t>, директор Проектного офиса Регионального экологического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 центра Центральной Азии (РЭЦЦА) в Туркменистане,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 </w:t>
      </w:r>
      <w:hyperlink r:id="rId7" w:tgtFrame="_blank" w:history="1">
        <w:r w:rsidRPr="0039076D">
          <w:rPr>
            <w:rStyle w:val="a3"/>
          </w:rPr>
          <w:t>turkmenistan@carececo.org</w:t>
        </w:r>
      </w:hyperlink>
    </w:p>
    <w:p w:rsidR="0039076D" w:rsidRPr="0039076D" w:rsidRDefault="0039076D" w:rsidP="0039076D">
      <w:pPr>
        <w:spacing w:after="0"/>
        <w:ind w:firstLine="709"/>
        <w:jc w:val="both"/>
      </w:pPr>
      <w:r w:rsidRPr="0039076D">
        <w:rPr>
          <w:b/>
          <w:bCs/>
        </w:rPr>
        <w:lastRenderedPageBreak/>
        <w:t>Литература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1.         Посланник Петра 1 на Востоке. Посольство Флорио Беневени в Персию и Бухару в 1718-1725 годах. М., Главная редакция восточной изд. «Наука», 1986 с.5-6.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2.         Советско-иранские отношения в договорах, конвенциях и соглашениях, МИД СССР. М., 1946, с. 29-35.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3.         Там же, с. 29-35.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4.         Документы внешней политики СССР. Т.3. Гос. Изд-во полит. литературы, М., 1959. С. 536-537.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5.         Сборник действующих договоров, заключенных СССР с иностранными государствами. Выпуск 10. С. 69.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6.         Там же.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7.         Кепбанов Ё.А. Международные экологические Конвенции и договора Туркменистана (правовые инструменты и институциональные механизмы обеспечения). Ашхабад. 2021. С.270.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8.         Ведомости Меджлиса Туркменистана. 2004 г. № 3. Ст.15.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9.         Собрание актов Президента Туркменистана и решений Правительства Туркменистана. 2001 г. № 8. Ст. 406.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10.       Кепбанов Ё.А. Международные экологические Конвенции и договора Туркменистана (правовые инструменты и институциональные механизмы обеспечения) Ашхабад. 2021. C. 281.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11.       Газета «Нейтральный Туркменистан». 2020 г. 24 августа.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12.       Ведомости Меджлиса Туркменистана. 2014 г. №4. Ст.155.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13.       Ведомости Меджлиса Туркменистана. 2014 г. №4. Ст.156.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14.       Ведомости Меджлиса Туркменистана. 2015 г. №4. Ст.134.</w:t>
      </w:r>
    </w:p>
    <w:p w:rsidR="0039076D" w:rsidRPr="0039076D" w:rsidRDefault="0039076D" w:rsidP="0039076D">
      <w:pPr>
        <w:spacing w:after="0"/>
        <w:ind w:firstLine="709"/>
        <w:jc w:val="both"/>
      </w:pPr>
      <w:r w:rsidRPr="0039076D">
        <w:t>15.       Кукушкина А. В. Концепция устойчивого развития (международно-правовые аспекты) //Вестник Томского государственного университета. Право. 2017. № 23. С. 29-39.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6D"/>
    <w:rsid w:val="000764F9"/>
    <w:rsid w:val="00334091"/>
    <w:rsid w:val="0039076D"/>
    <w:rsid w:val="006C0B77"/>
    <w:rsid w:val="007A475D"/>
    <w:rsid w:val="008242FF"/>
    <w:rsid w:val="00870751"/>
    <w:rsid w:val="00922C48"/>
    <w:rsid w:val="00B44A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F3E86-20BE-4747-8124-989FBC3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7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urkmenistan@carecec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5795</Words>
  <Characters>33035</Characters>
  <Application>Microsoft Office Word</Application>
  <DocSecurity>0</DocSecurity>
  <Lines>275</Lines>
  <Paragraphs>77</Paragraphs>
  <ScaleCrop>false</ScaleCrop>
  <Company/>
  <LinksUpToDate>false</LinksUpToDate>
  <CharactersWithSpaces>38753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2025-01-04T08:40:00Z</dcterms:created>
  <dcterms:modified xsi:type="dcterms:W3CDTF">2025-01-09T12:10:00Z</dcterms:modified>
</cp:coreProperties>
</file>